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57ED" w14:textId="77777777" w:rsidR="000B5596" w:rsidRDefault="000B5596" w:rsidP="000B5596">
      <w:pPr>
        <w:spacing w:after="0" w:line="480" w:lineRule="auto"/>
        <w:ind w:firstLine="720"/>
        <w:contextualSpacing/>
        <w:jc w:val="center"/>
      </w:pPr>
    </w:p>
    <w:p w14:paraId="1AEDE4DC" w14:textId="77777777" w:rsidR="000B5596" w:rsidRDefault="000B5596" w:rsidP="000B5596">
      <w:pPr>
        <w:spacing w:after="0" w:line="480" w:lineRule="auto"/>
        <w:ind w:firstLine="720"/>
        <w:contextualSpacing/>
        <w:jc w:val="center"/>
      </w:pPr>
    </w:p>
    <w:p w14:paraId="33718385" w14:textId="77777777" w:rsidR="000B5596" w:rsidRDefault="000B5596" w:rsidP="000B5596">
      <w:pPr>
        <w:spacing w:after="0" w:line="480" w:lineRule="auto"/>
        <w:ind w:firstLine="720"/>
        <w:contextualSpacing/>
        <w:jc w:val="center"/>
      </w:pPr>
    </w:p>
    <w:p w14:paraId="24CF569E" w14:textId="77777777" w:rsidR="000B5596" w:rsidRDefault="000B5596" w:rsidP="000B5596">
      <w:pPr>
        <w:spacing w:after="0" w:line="480" w:lineRule="auto"/>
        <w:ind w:firstLine="720"/>
        <w:contextualSpacing/>
        <w:jc w:val="center"/>
      </w:pPr>
    </w:p>
    <w:p w14:paraId="77375E8A" w14:textId="351121F0" w:rsidR="000B5596" w:rsidRPr="000B5596" w:rsidRDefault="000B5596" w:rsidP="000B5596">
      <w:pPr>
        <w:spacing w:after="0" w:line="480" w:lineRule="auto"/>
        <w:ind w:firstLine="720"/>
        <w:contextualSpacing/>
        <w:jc w:val="center"/>
        <w:rPr>
          <w:b/>
        </w:rPr>
      </w:pPr>
      <w:r w:rsidRPr="000B5596">
        <w:rPr>
          <w:b/>
        </w:rPr>
        <w:t>Arson Evidence Collection Bags</w:t>
      </w:r>
    </w:p>
    <w:p w14:paraId="413AA1F2" w14:textId="77777777" w:rsidR="000B5596" w:rsidRDefault="000B5596" w:rsidP="000B5596">
      <w:pPr>
        <w:spacing w:after="0" w:line="480" w:lineRule="auto"/>
        <w:ind w:firstLine="720"/>
        <w:contextualSpacing/>
        <w:jc w:val="center"/>
      </w:pPr>
    </w:p>
    <w:p w14:paraId="0163A3C0" w14:textId="77777777" w:rsidR="000B5596" w:rsidRDefault="000B5596" w:rsidP="000B5596">
      <w:pPr>
        <w:spacing w:after="0" w:line="480" w:lineRule="auto"/>
        <w:ind w:firstLine="720"/>
        <w:contextualSpacing/>
        <w:jc w:val="center"/>
      </w:pPr>
    </w:p>
    <w:p w14:paraId="14BE8AA9" w14:textId="77777777" w:rsidR="000B5596" w:rsidRDefault="000B5596" w:rsidP="000B5596">
      <w:pPr>
        <w:spacing w:after="0" w:line="480" w:lineRule="auto"/>
        <w:ind w:firstLine="720"/>
        <w:contextualSpacing/>
        <w:jc w:val="center"/>
      </w:pPr>
      <w:r>
        <w:t>Students Name</w:t>
      </w:r>
    </w:p>
    <w:p w14:paraId="6CDA3CB9" w14:textId="77777777" w:rsidR="000B5596" w:rsidRDefault="000B5596" w:rsidP="000B5596">
      <w:pPr>
        <w:spacing w:after="0" w:line="480" w:lineRule="auto"/>
        <w:ind w:firstLine="720"/>
        <w:contextualSpacing/>
        <w:jc w:val="center"/>
      </w:pPr>
      <w:r>
        <w:t>Institutional Affiliation</w:t>
      </w:r>
    </w:p>
    <w:p w14:paraId="0B58826A" w14:textId="77777777" w:rsidR="000B5596" w:rsidRDefault="000B5596" w:rsidP="000B5596">
      <w:pPr>
        <w:spacing w:after="0" w:line="480" w:lineRule="auto"/>
        <w:ind w:firstLine="720"/>
        <w:contextualSpacing/>
        <w:jc w:val="center"/>
      </w:pPr>
      <w:r>
        <w:t>Course Code and Name</w:t>
      </w:r>
    </w:p>
    <w:p w14:paraId="5D8FE410" w14:textId="77777777" w:rsidR="000B5596" w:rsidRDefault="000B5596" w:rsidP="000B5596">
      <w:pPr>
        <w:spacing w:after="0" w:line="480" w:lineRule="auto"/>
        <w:ind w:firstLine="720"/>
        <w:contextualSpacing/>
        <w:jc w:val="center"/>
      </w:pPr>
      <w:r>
        <w:t>Instructors Name</w:t>
      </w:r>
    </w:p>
    <w:p w14:paraId="02223C34" w14:textId="742D258E" w:rsidR="000B5596" w:rsidRDefault="000B5596" w:rsidP="000B5596">
      <w:pPr>
        <w:spacing w:after="0" w:line="480" w:lineRule="auto"/>
        <w:ind w:firstLine="720"/>
        <w:contextualSpacing/>
        <w:jc w:val="center"/>
      </w:pPr>
      <w:r>
        <w:t>Date</w:t>
      </w:r>
    </w:p>
    <w:p w14:paraId="711413B1" w14:textId="77777777" w:rsidR="000B5596" w:rsidRDefault="000B5596">
      <w:r>
        <w:br w:type="page"/>
      </w:r>
    </w:p>
    <w:p w14:paraId="156092C8" w14:textId="5603F67E" w:rsidR="000B5596" w:rsidRDefault="000B5596" w:rsidP="000B5596">
      <w:pPr>
        <w:spacing w:after="0" w:line="480" w:lineRule="auto"/>
        <w:ind w:firstLine="720"/>
        <w:contextualSpacing/>
        <w:jc w:val="center"/>
      </w:pPr>
      <w:bookmarkStart w:id="0" w:name="_GoBack"/>
      <w:r>
        <w:lastRenderedPageBreak/>
        <w:t>Arson Evidence Collection Bags</w:t>
      </w:r>
    </w:p>
    <w:bookmarkEnd w:id="0"/>
    <w:p w14:paraId="0F761741" w14:textId="07CEFFBA" w:rsidR="006D0AF0" w:rsidRDefault="00FD0CE7" w:rsidP="000A3931">
      <w:pPr>
        <w:spacing w:after="0" w:line="480" w:lineRule="auto"/>
        <w:ind w:firstLine="720"/>
        <w:contextualSpacing/>
        <w:jc w:val="both"/>
      </w:pPr>
      <w:r>
        <w:t xml:space="preserve">I agree. Arson evidence </w:t>
      </w:r>
      <w:r w:rsidR="00113FA1">
        <w:t xml:space="preserve">collection bags have long </w:t>
      </w:r>
      <w:r w:rsidR="00D76BF1" w:rsidRPr="00D76BF1">
        <w:t xml:space="preserve">proven to be an ideal </w:t>
      </w:r>
      <w:r w:rsidR="00D76BF1">
        <w:t>packaging tool</w:t>
      </w:r>
      <w:r w:rsidR="00D76BF1" w:rsidRPr="00D76BF1">
        <w:t> for fire debris</w:t>
      </w:r>
      <w:r w:rsidR="00A758DB">
        <w:t xml:space="preserve"> collection and storage</w:t>
      </w:r>
      <w:r w:rsidR="00D76BF1" w:rsidRPr="00D76BF1">
        <w:t xml:space="preserve"> when correctly sealed.</w:t>
      </w:r>
      <w:r w:rsidR="00D76BF1">
        <w:t xml:space="preserve"> </w:t>
      </w:r>
      <w:r w:rsidR="005934B1" w:rsidRPr="00B50DCD">
        <w:rPr>
          <w:color w:val="222222"/>
          <w:szCs w:val="24"/>
          <w:shd w:val="clear" w:color="auto" w:fill="FFFFFF"/>
        </w:rPr>
        <w:t>Reitnauer (2015)</w:t>
      </w:r>
      <w:r w:rsidR="005934B1">
        <w:rPr>
          <w:color w:val="222222"/>
          <w:szCs w:val="24"/>
          <w:shd w:val="clear" w:color="auto" w:fill="FFFFFF"/>
        </w:rPr>
        <w:t xml:space="preserve"> argues that t</w:t>
      </w:r>
      <w:r w:rsidR="00CB76B3" w:rsidRPr="00CB76B3">
        <w:t xml:space="preserve">hese bags are superior to </w:t>
      </w:r>
      <w:r w:rsidR="00590700">
        <w:t xml:space="preserve">metal cans and glass packaging </w:t>
      </w:r>
      <w:r w:rsidR="00CB76B3" w:rsidRPr="00CB76B3">
        <w:t xml:space="preserve">for evidence gathering in forensics. </w:t>
      </w:r>
      <w:r>
        <w:t xml:space="preserve">For instance, </w:t>
      </w:r>
      <w:r w:rsidR="00220115">
        <w:t>unlike metal cans that can readily be corroded by water and acids present in the fire debris resulting in perforations, evidence collection bags cannot easily deteriorate over time from the accelerants' solvents</w:t>
      </w:r>
      <w:r w:rsidR="00182748">
        <w:t>, thereby preventing the loss of flammables and hydrocarbons</w:t>
      </w:r>
      <w:r w:rsidR="00220115">
        <w:t>. Therefore, p</w:t>
      </w:r>
      <w:r w:rsidR="00220115" w:rsidRPr="00B42F6F">
        <w:t>resumed evidence containing accelerants may be sealed in these transparent nylon bags using Custom or Impulse Bag Sealer or folded and taped tightly shut with evidence tape or seals</w:t>
      </w:r>
      <w:r w:rsidR="00220115">
        <w:t xml:space="preserve"> and would not corrode the bags</w:t>
      </w:r>
      <w:r w:rsidR="00220115" w:rsidRPr="00B42F6F">
        <w:t>.</w:t>
      </w:r>
    </w:p>
    <w:p w14:paraId="747F3B2F" w14:textId="5AEB70E1" w:rsidR="00CB76B3" w:rsidRDefault="00FD0CE7" w:rsidP="000A3931">
      <w:pPr>
        <w:spacing w:after="0" w:line="480" w:lineRule="auto"/>
        <w:ind w:firstLine="720"/>
        <w:contextualSpacing/>
        <w:jc w:val="both"/>
      </w:pPr>
      <w:r>
        <w:t>Moreover,</w:t>
      </w:r>
      <w:r w:rsidR="00E53EBC">
        <w:t xml:space="preserve"> unlike g</w:t>
      </w:r>
      <w:r w:rsidR="00EE6400">
        <w:t>l</w:t>
      </w:r>
      <w:r w:rsidR="00E53EBC">
        <w:t>a</w:t>
      </w:r>
      <w:r w:rsidR="00EE6400">
        <w:t>s</w:t>
      </w:r>
      <w:r w:rsidR="00E53EBC">
        <w:t>s packaging materials that re</w:t>
      </w:r>
      <w:r w:rsidR="00503AA5">
        <w:t>q</w:t>
      </w:r>
      <w:r w:rsidR="00E53EBC">
        <w:t xml:space="preserve">uire careful packaging </w:t>
      </w:r>
      <w:r w:rsidR="003717D8">
        <w:t>to avoid breakages, the arson collection bags can get handled easily without breaking</w:t>
      </w:r>
      <w:r w:rsidR="00003B36">
        <w:t>. Besides,</w:t>
      </w:r>
      <w:r>
        <w:t xml:space="preserve"> t</w:t>
      </w:r>
      <w:r w:rsidRPr="00CB76B3">
        <w:t>he evidence bags can tolerate temperatures as h</w:t>
      </w:r>
      <w:r w:rsidRPr="00CB76B3">
        <w:t>igh as 70 degrees Celsius in the extraction oven</w:t>
      </w:r>
      <w:r w:rsidR="00ED57FE">
        <w:t xml:space="preserve">. In this regard, they can be </w:t>
      </w:r>
      <w:r w:rsidR="002437A5">
        <w:t>sealed using heat and at the same time fail to break.</w:t>
      </w:r>
      <w:r w:rsidR="001D10A8">
        <w:t xml:space="preserve"> Therefore, such bags are alternative solutions to glass since they are transparent</w:t>
      </w:r>
      <w:r w:rsidR="004D42F9">
        <w:t xml:space="preserve">, allowing materials to be viewed without opening the bag and easily labeled using </w:t>
      </w:r>
      <w:r w:rsidR="003B6526">
        <w:t>arson evidence labels. However, t</w:t>
      </w:r>
      <w:r w:rsidRPr="00CB76B3">
        <w:t>he bags have the downside of being puncture-prone</w:t>
      </w:r>
      <w:r w:rsidR="00AF1381">
        <w:t xml:space="preserve"> since</w:t>
      </w:r>
      <w:r w:rsidRPr="00CB76B3">
        <w:t xml:space="preserve"> fire debris sometimes comprises components that can puncture them.</w:t>
      </w:r>
      <w:r w:rsidR="004077FF">
        <w:t xml:space="preserve"> Overall</w:t>
      </w:r>
      <w:r w:rsidR="00E43E38">
        <w:t>,</w:t>
      </w:r>
      <w:r w:rsidR="00B518D5">
        <w:t xml:space="preserve"> despite the limitation of arson evidence collection bags,</w:t>
      </w:r>
      <w:r w:rsidR="00E43E38">
        <w:t xml:space="preserve"> the benefits of using </w:t>
      </w:r>
      <w:r w:rsidR="00853841">
        <w:t>such materials outweigh</w:t>
      </w:r>
      <w:r w:rsidR="00DA3047">
        <w:t xml:space="preserve"> the limitations associated with them, thereby making them </w:t>
      </w:r>
      <w:r w:rsidR="004706A2">
        <w:t>adequate for proper sample preparation of fire debris compared to other packaging materials.</w:t>
      </w:r>
    </w:p>
    <w:p w14:paraId="19B26A8A" w14:textId="324D94B7" w:rsidR="00A34BDD" w:rsidRPr="00CB4E14" w:rsidRDefault="00FD0CE7" w:rsidP="00CB4E14">
      <w:pPr>
        <w:spacing w:after="0" w:line="480" w:lineRule="auto"/>
        <w:ind w:firstLine="720"/>
        <w:contextualSpacing/>
        <w:jc w:val="center"/>
        <w:rPr>
          <w:b/>
          <w:bCs/>
        </w:rPr>
      </w:pPr>
      <w:r w:rsidRPr="00CB4E14">
        <w:rPr>
          <w:b/>
          <w:bCs/>
        </w:rPr>
        <w:t>Reference</w:t>
      </w:r>
    </w:p>
    <w:p w14:paraId="654F0273" w14:textId="0F2D6736" w:rsidR="00B50DCD" w:rsidRPr="00B50DCD" w:rsidRDefault="00FD0CE7" w:rsidP="00B50DCD">
      <w:pPr>
        <w:spacing w:after="0" w:line="480" w:lineRule="auto"/>
        <w:ind w:left="720" w:hanging="720"/>
        <w:contextualSpacing/>
        <w:jc w:val="both"/>
        <w:rPr>
          <w:color w:val="222222"/>
          <w:szCs w:val="24"/>
          <w:shd w:val="clear" w:color="auto" w:fill="FFFFFF"/>
        </w:rPr>
      </w:pPr>
      <w:r w:rsidRPr="00B50DCD">
        <w:rPr>
          <w:color w:val="222222"/>
          <w:szCs w:val="24"/>
          <w:shd w:val="clear" w:color="auto" w:fill="FFFFFF"/>
        </w:rPr>
        <w:t>Reitnauer, A. R. (2015). Crime Scene Response and Evidence Collection. In </w:t>
      </w:r>
      <w:r w:rsidRPr="00B50DCD">
        <w:rPr>
          <w:i/>
          <w:iCs/>
          <w:color w:val="222222"/>
          <w:szCs w:val="24"/>
          <w:shd w:val="clear" w:color="auto" w:fill="FFFFFF"/>
        </w:rPr>
        <w:t>Security Supervision and Management</w:t>
      </w:r>
      <w:r w:rsidRPr="00B50DCD">
        <w:rPr>
          <w:color w:val="222222"/>
          <w:szCs w:val="24"/>
          <w:shd w:val="clear" w:color="auto" w:fill="FFFFFF"/>
        </w:rPr>
        <w:t> (pp. 443-459). Butterworth-Heinemann.</w:t>
      </w:r>
    </w:p>
    <w:p w14:paraId="5BDD3139" w14:textId="77777777" w:rsidR="00B50DCD" w:rsidRDefault="00B50DCD" w:rsidP="00B50DCD">
      <w:pPr>
        <w:spacing w:after="0" w:line="480" w:lineRule="auto"/>
        <w:contextualSpacing/>
        <w:jc w:val="both"/>
      </w:pPr>
    </w:p>
    <w:p w14:paraId="0A40CF40" w14:textId="77777777" w:rsidR="00A34BDD" w:rsidRDefault="00A34BDD" w:rsidP="00A34BDD">
      <w:pPr>
        <w:spacing w:after="0" w:line="480" w:lineRule="auto"/>
        <w:contextualSpacing/>
        <w:jc w:val="both"/>
      </w:pPr>
    </w:p>
    <w:p w14:paraId="5AE614A8" w14:textId="4C66734D" w:rsidR="006D59D5" w:rsidRDefault="006D59D5" w:rsidP="000A3931">
      <w:pPr>
        <w:spacing w:after="0" w:line="480" w:lineRule="auto"/>
        <w:ind w:firstLine="720"/>
        <w:contextualSpacing/>
        <w:jc w:val="both"/>
      </w:pPr>
    </w:p>
    <w:sectPr w:rsidR="006D59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46F1C" w14:textId="77777777" w:rsidR="00FD0CE7" w:rsidRDefault="00FD0CE7" w:rsidP="000B5596">
      <w:pPr>
        <w:spacing w:after="0" w:line="240" w:lineRule="auto"/>
      </w:pPr>
      <w:r>
        <w:separator/>
      </w:r>
    </w:p>
  </w:endnote>
  <w:endnote w:type="continuationSeparator" w:id="0">
    <w:p w14:paraId="1F6D0C1B" w14:textId="77777777" w:rsidR="00FD0CE7" w:rsidRDefault="00FD0CE7" w:rsidP="000B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1CDE0" w14:textId="77777777" w:rsidR="00FD0CE7" w:rsidRDefault="00FD0CE7" w:rsidP="000B5596">
      <w:pPr>
        <w:spacing w:after="0" w:line="240" w:lineRule="auto"/>
      </w:pPr>
      <w:r>
        <w:separator/>
      </w:r>
    </w:p>
  </w:footnote>
  <w:footnote w:type="continuationSeparator" w:id="0">
    <w:p w14:paraId="68699E29" w14:textId="77777777" w:rsidR="00FD0CE7" w:rsidRDefault="00FD0CE7" w:rsidP="000B5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460615"/>
      <w:docPartObj>
        <w:docPartGallery w:val="Page Numbers (Top of Page)"/>
        <w:docPartUnique/>
      </w:docPartObj>
    </w:sdtPr>
    <w:sdtEndPr>
      <w:rPr>
        <w:noProof/>
      </w:rPr>
    </w:sdtEndPr>
    <w:sdtContent>
      <w:p w14:paraId="16BD3C51" w14:textId="7B42F6C3" w:rsidR="000B5596" w:rsidRDefault="000B559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515EE71" w14:textId="77777777" w:rsidR="000B5596" w:rsidRDefault="000B5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D2"/>
    <w:rsid w:val="00003B36"/>
    <w:rsid w:val="00046F56"/>
    <w:rsid w:val="000957C1"/>
    <w:rsid w:val="000A3931"/>
    <w:rsid w:val="000B5596"/>
    <w:rsid w:val="00104539"/>
    <w:rsid w:val="00113FA1"/>
    <w:rsid w:val="00182748"/>
    <w:rsid w:val="001B0167"/>
    <w:rsid w:val="001D0C2F"/>
    <w:rsid w:val="001D10A8"/>
    <w:rsid w:val="00220115"/>
    <w:rsid w:val="002437A5"/>
    <w:rsid w:val="003717D8"/>
    <w:rsid w:val="003B6526"/>
    <w:rsid w:val="004077FF"/>
    <w:rsid w:val="00447C2F"/>
    <w:rsid w:val="004511B9"/>
    <w:rsid w:val="004706A2"/>
    <w:rsid w:val="004A3BA8"/>
    <w:rsid w:val="004D42F9"/>
    <w:rsid w:val="00503AA5"/>
    <w:rsid w:val="00590700"/>
    <w:rsid w:val="005934B1"/>
    <w:rsid w:val="006811F9"/>
    <w:rsid w:val="0068294D"/>
    <w:rsid w:val="006D0AF0"/>
    <w:rsid w:val="006D59D5"/>
    <w:rsid w:val="007E2147"/>
    <w:rsid w:val="00853841"/>
    <w:rsid w:val="008D6FBA"/>
    <w:rsid w:val="008E1871"/>
    <w:rsid w:val="008E21EC"/>
    <w:rsid w:val="00A12FB6"/>
    <w:rsid w:val="00A34BDD"/>
    <w:rsid w:val="00A6226E"/>
    <w:rsid w:val="00A758DB"/>
    <w:rsid w:val="00AB5E91"/>
    <w:rsid w:val="00AF1381"/>
    <w:rsid w:val="00B42F6F"/>
    <w:rsid w:val="00B50DCD"/>
    <w:rsid w:val="00B518D5"/>
    <w:rsid w:val="00C27188"/>
    <w:rsid w:val="00CB4E14"/>
    <w:rsid w:val="00CB76B3"/>
    <w:rsid w:val="00CC0ED2"/>
    <w:rsid w:val="00CC20A2"/>
    <w:rsid w:val="00D51984"/>
    <w:rsid w:val="00D617C0"/>
    <w:rsid w:val="00D76BF1"/>
    <w:rsid w:val="00DA3047"/>
    <w:rsid w:val="00DA7A56"/>
    <w:rsid w:val="00E14499"/>
    <w:rsid w:val="00E22B5B"/>
    <w:rsid w:val="00E43E38"/>
    <w:rsid w:val="00E53EBC"/>
    <w:rsid w:val="00E573F9"/>
    <w:rsid w:val="00ED57FE"/>
    <w:rsid w:val="00EE6400"/>
    <w:rsid w:val="00FB73EB"/>
    <w:rsid w:val="00FD0CE7"/>
    <w:rsid w:val="00FD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4209"/>
  <w15:chartTrackingRefBased/>
  <w15:docId w15:val="{3B0E8432-F119-42B9-B2F3-4F407102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96"/>
  </w:style>
  <w:style w:type="paragraph" w:styleId="Footer">
    <w:name w:val="footer"/>
    <w:basedOn w:val="Normal"/>
    <w:link w:val="FooterChar"/>
    <w:uiPriority w:val="99"/>
    <w:unhideWhenUsed/>
    <w:rsid w:val="000B5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2021-05-16T20:17:00Z</dcterms:created>
  <dcterms:modified xsi:type="dcterms:W3CDTF">2021-05-16T20:17:00Z</dcterms:modified>
</cp:coreProperties>
</file>